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3E" w:rsidRPr="006612CF" w:rsidRDefault="004E5B3E" w:rsidP="006612CF">
      <w:pPr>
        <w:spacing w:after="0"/>
        <w:jc w:val="center"/>
        <w:rPr>
          <w:rFonts w:ascii="gobCL" w:hAnsi="gobCL"/>
          <w:b/>
          <w:bCs/>
          <w:color w:val="000000" w:themeColor="text1"/>
          <w:sz w:val="24"/>
        </w:rPr>
      </w:pPr>
      <w:r w:rsidRPr="006612CF">
        <w:rPr>
          <w:rFonts w:ascii="gobCL" w:hAnsi="gobCL"/>
          <w:b/>
          <w:bCs/>
          <w:color w:val="000000" w:themeColor="text1"/>
          <w:sz w:val="24"/>
        </w:rPr>
        <w:t>"Modificaciones Puntuales al Plan Regulador Comunal de la ciudad de Valdivia, Sector Guacamayo - Art. N° 50 LGUC - Altos de Guacamayo III"</w:t>
      </w:r>
    </w:p>
    <w:p w:rsidR="004E5B3E" w:rsidRDefault="004E5B3E" w:rsidP="004E5B3E">
      <w:pPr>
        <w:spacing w:after="0"/>
        <w:jc w:val="both"/>
        <w:rPr>
          <w:rFonts w:ascii="gobCL" w:hAnsi="gobCL"/>
          <w:b/>
        </w:rPr>
      </w:pPr>
    </w:p>
    <w:p w:rsidR="004E5B3E" w:rsidRPr="006612CF" w:rsidRDefault="004E5B3E" w:rsidP="006612CF">
      <w:pPr>
        <w:spacing w:after="0"/>
        <w:jc w:val="center"/>
        <w:rPr>
          <w:rFonts w:ascii="gobCL" w:hAnsi="gobCL"/>
          <w:b/>
          <w:sz w:val="32"/>
        </w:rPr>
      </w:pPr>
      <w:r w:rsidRPr="006612CF">
        <w:rPr>
          <w:rFonts w:ascii="gobCL" w:hAnsi="gobCL"/>
          <w:b/>
          <w:sz w:val="32"/>
        </w:rPr>
        <w:t>Ordenanza Local</w:t>
      </w:r>
    </w:p>
    <w:p w:rsidR="004E5B3E" w:rsidRDefault="004E5B3E" w:rsidP="004E5B3E">
      <w:pPr>
        <w:spacing w:after="0"/>
        <w:jc w:val="both"/>
        <w:rPr>
          <w:rFonts w:ascii="gobCL" w:hAnsi="gobCL"/>
          <w:b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  <w:r w:rsidRPr="00B2232A">
        <w:rPr>
          <w:rFonts w:ascii="gobCL" w:hAnsi="gobCL"/>
          <w:b/>
        </w:rPr>
        <w:t>Artículo 1°:</w:t>
      </w:r>
      <w:r w:rsidRPr="00B2232A">
        <w:rPr>
          <w:rFonts w:ascii="gobCL" w:hAnsi="gobCL"/>
        </w:rPr>
        <w:t xml:space="preserve"> Modifíquese el Plan Regulador Comunal de Valdivia, específicamente en el sector Las Mulatas - Angachilla, denominado “Altos de Guacamayo”, conformado por el plano PR VAL N° 02 – 2002, aprobado mediante Decreto Alcaldicio Exento N° 361 del 20 de enero de 2003 de I. Municipalidad de Valdivia y  por Resolución N° 17 del 24 de abril de 2003 del Gobierno Regional de Los Lagos, publicada en el Diario Oficial con fecha 30 de mayo de 2003, en el sentido de sustituir la </w:t>
      </w:r>
      <w:r w:rsidRPr="00A7629D">
        <w:rPr>
          <w:rFonts w:ascii="gobCL" w:hAnsi="gobCL"/>
        </w:rPr>
        <w:t>normativa aplicable al predio de propiedad del Servicio de Vivienda y Urbanización de la Región de Los Rios, ubicado en el sector denominado Guacamayo III, conformada por</w:t>
      </w:r>
      <w:r w:rsidR="00A7629D" w:rsidRPr="00A7629D">
        <w:rPr>
          <w:rFonts w:ascii="gobCL" w:hAnsi="gobCL"/>
        </w:rPr>
        <w:t xml:space="preserve"> el Lote 1-ZX, del plano denominado LSF2 de fecha Marzo 2020 de SERVIU Los Rios, inscrito bajo en N° 957 según inscripción de fojas 3336v N°2977de Registro de propiedad del año 2020,  </w:t>
      </w:r>
      <w:r w:rsidRPr="00A7629D">
        <w:rPr>
          <w:rFonts w:ascii="gobCL" w:hAnsi="gobCL"/>
        </w:rPr>
        <w:t xml:space="preserve">ubicado en Avda. Ingeniero Raul Sáez, de la Comuna de Valdivia, correspondiente a parte de la Zona ZE-4ª, ZR-3, ZU-EE y Parque, reemplazandola por la que indican los artículos 3°, 4° y 5° del presente decreto, de conformidad a lo señalado en la Memoria Explicativa y en el Informe </w:t>
      </w:r>
      <w:r w:rsidRPr="00B2232A">
        <w:rPr>
          <w:rFonts w:ascii="gobCL" w:hAnsi="gobCL"/>
          <w:color w:val="000000" w:themeColor="text1"/>
        </w:rPr>
        <w:t xml:space="preserve">de Factibilidad correspondiente y a lo graficado en el plano denominado </w:t>
      </w:r>
      <w:r w:rsidRPr="00B2232A">
        <w:rPr>
          <w:rFonts w:ascii="gobCL" w:hAnsi="gobCL"/>
          <w:bCs/>
          <w:color w:val="000000" w:themeColor="text1"/>
        </w:rPr>
        <w:t>"Modificaciones Puntuales al Plan Regulador Comunal de la ciudad de Valdivia, Sector Guacamayo - Art. N° 50 LGUC - Altos de Guacamayo III" PRC – G3 01-2019, escala 1:1.000, confeccionado por la Secretaría Regional Ministerial de Vivienda y Urbanismo Región de Los Rios, que modifica el mencionado plano “PR VAL N° 02 – 2002”, en el polígono mencionado, todos documentos que por el presente decreto se aprueban.</w:t>
      </w:r>
    </w:p>
    <w:p w:rsidR="004E5B3E" w:rsidRDefault="004E5B3E" w:rsidP="004E5B3E">
      <w:pPr>
        <w:spacing w:after="0"/>
        <w:jc w:val="both"/>
        <w:rPr>
          <w:rFonts w:ascii="gobCL" w:hAnsi="gobCL"/>
          <w:b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  <w:r w:rsidRPr="00B2232A">
        <w:rPr>
          <w:rFonts w:ascii="gobCL" w:hAnsi="gobCL"/>
          <w:b/>
        </w:rPr>
        <w:t>Artículo 2°</w:t>
      </w:r>
      <w:r w:rsidRPr="00B2232A">
        <w:rPr>
          <w:rFonts w:ascii="gobCL" w:hAnsi="gobCL"/>
        </w:rPr>
        <w:t xml:space="preserve">: Modifíquese el Articulo 1 de la mencionada ordenanza local, en el sentido de agregar a continuación del vocablo “Secretaría de Planificación Municipal”, la frase “y el Plano denominado </w:t>
      </w:r>
      <w:r w:rsidRPr="00B2232A">
        <w:rPr>
          <w:rFonts w:ascii="gobCL" w:hAnsi="gobCL"/>
          <w:bCs/>
        </w:rPr>
        <w:t>"Modificaciones Puntuales al Plan Regulador Comunal de la ciudad de Valdivia, Sector Guacamayo - Art. N° 50 LGUC - A</w:t>
      </w:r>
      <w:r>
        <w:rPr>
          <w:rFonts w:ascii="gobCL" w:hAnsi="gobCL"/>
          <w:bCs/>
        </w:rPr>
        <w:t>ltos de Guacamayo III" PRC – G3-</w:t>
      </w:r>
      <w:r w:rsidRPr="00B2232A">
        <w:rPr>
          <w:rFonts w:ascii="gobCL" w:hAnsi="gobCL"/>
          <w:bCs/>
        </w:rPr>
        <w:t>01-20</w:t>
      </w:r>
      <w:r>
        <w:rPr>
          <w:rFonts w:ascii="gobCL" w:hAnsi="gobCL"/>
          <w:bCs/>
        </w:rPr>
        <w:t>20</w:t>
      </w:r>
      <w:r w:rsidRPr="00B2232A">
        <w:rPr>
          <w:rFonts w:ascii="gobCL" w:hAnsi="gobCL"/>
          <w:bCs/>
        </w:rPr>
        <w:t>, escala 1:</w:t>
      </w:r>
      <w:r>
        <w:rPr>
          <w:rFonts w:ascii="gobCL" w:hAnsi="gobCL"/>
          <w:bCs/>
        </w:rPr>
        <w:t>2</w:t>
      </w:r>
      <w:r w:rsidRPr="00B2232A">
        <w:rPr>
          <w:rFonts w:ascii="gobCL" w:hAnsi="gobCL"/>
          <w:bCs/>
        </w:rPr>
        <w:t xml:space="preserve">.000, confeccionado por la Secretaría Regional Ministerial de Vivienda y Urbanismo Región de Los Rios”. </w:t>
      </w:r>
      <w:r w:rsidRPr="00B2232A">
        <w:rPr>
          <w:rFonts w:ascii="gobCL" w:hAnsi="gobCL"/>
        </w:rPr>
        <w:t xml:space="preserve">    </w:t>
      </w: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  <w:r w:rsidRPr="00B2232A">
        <w:rPr>
          <w:rFonts w:ascii="gobCL" w:hAnsi="gobCL"/>
          <w:b/>
        </w:rPr>
        <w:t>Artículo 3°:</w:t>
      </w:r>
      <w:r w:rsidRPr="00B2232A">
        <w:rPr>
          <w:rFonts w:ascii="gobCL" w:hAnsi="gobCL"/>
        </w:rPr>
        <w:t xml:space="preserve"> Incorpórense en el artículo 3° de la Ordenanza Loca</w:t>
      </w:r>
      <w:r>
        <w:rPr>
          <w:rFonts w:ascii="gobCL" w:hAnsi="gobCL"/>
        </w:rPr>
        <w:t xml:space="preserve">l, a continuación de la Zona ZU </w:t>
      </w:r>
      <w:r w:rsidRPr="00B2232A">
        <w:rPr>
          <w:rFonts w:ascii="gobCL" w:hAnsi="gobCL"/>
        </w:rPr>
        <w:t>ED, las siguientes nuevas zonas, sus usos de suelo y normas urbanísticas:</w:t>
      </w: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9"/>
        <w:gridCol w:w="937"/>
        <w:gridCol w:w="3334"/>
      </w:tblGrid>
      <w:tr w:rsidR="004E5B3E" w:rsidRPr="00B2232A" w:rsidTr="007044FC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Z-G</w:t>
            </w:r>
            <w:r>
              <w:rPr>
                <w:rFonts w:ascii="gobCL" w:hAnsi="gobC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USOS DE SUELO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1319" w:type="pct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TIPO DE USO</w:t>
            </w:r>
          </w:p>
        </w:tc>
        <w:tc>
          <w:tcPr>
            <w:tcW w:w="1841" w:type="pct"/>
            <w:gridSpan w:val="2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PERMITIDOS</w:t>
            </w:r>
          </w:p>
        </w:tc>
        <w:tc>
          <w:tcPr>
            <w:tcW w:w="1840" w:type="pct"/>
            <w:shd w:val="clear" w:color="auto" w:fill="D9D9D9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PROHIBIDOS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RESIDENCIAL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EQUIPAMIENTO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Científico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Comercio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bCs/>
                <w:color w:val="000000"/>
                <w:sz w:val="22"/>
                <w:szCs w:val="22"/>
              </w:rPr>
              <w:t>T</w:t>
            </w: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erminales de distribución, discotecas y quintas de recreo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Educación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C</w:t>
            </w: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entro de rehabilitación conductual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Deporte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Estadio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Esparcimiento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bCs/>
                <w:color w:val="000000"/>
                <w:sz w:val="22"/>
                <w:szCs w:val="22"/>
              </w:rPr>
              <w:t>P</w:t>
            </w: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arque zoológico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Salud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 xml:space="preserve">Permitido 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C</w:t>
            </w: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ementerio y crematorio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Servicios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Social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Cultura / Culto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Seguridad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 xml:space="preserve">Permitido 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C</w:t>
            </w: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árcel y centro de detención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ACTIVIDADES  PRODUCTIVAS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Prohibido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INFRAESTRUCTURA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Prohibido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lastRenderedPageBreak/>
              <w:t>ESPACIO PUBLICO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AREAS VERDES</w:t>
            </w:r>
          </w:p>
        </w:tc>
        <w:tc>
          <w:tcPr>
            <w:tcW w:w="1841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1840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/>
                <w:bCs/>
                <w:color w:val="auto"/>
                <w:sz w:val="22"/>
                <w:szCs w:val="22"/>
              </w:rPr>
              <w:t>CONDICIONES DE SUBDIVISION Y EDIFICACION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Superficie de Subdivisión Predial Mínima (m</w:t>
            </w: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  <w:vertAlign w:val="superscript"/>
              </w:rPr>
              <w:t>2</w:t>
            </w: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4E5B3E" w:rsidP="0025560F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 w:themeColor="text1"/>
                <w:sz w:val="22"/>
                <w:szCs w:val="22"/>
              </w:rPr>
              <w:t xml:space="preserve">80 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Coeficiente de Ocupación  de Suelo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4E5B3E" w:rsidP="0025560F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 w:themeColor="text1"/>
                <w:sz w:val="22"/>
                <w:szCs w:val="22"/>
              </w:rPr>
              <w:t>0,</w:t>
            </w:r>
            <w:r w:rsidR="0025560F">
              <w:rPr>
                <w:rFonts w:ascii="gobCL" w:hAnsi="gobCL"/>
                <w:color w:val="000000" w:themeColor="text1"/>
                <w:sz w:val="22"/>
                <w:szCs w:val="22"/>
              </w:rPr>
              <w:t>8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Coeficiente de Constructibilidad</w:t>
            </w:r>
          </w:p>
        </w:tc>
        <w:tc>
          <w:tcPr>
            <w:tcW w:w="2357" w:type="pct"/>
            <w:gridSpan w:val="2"/>
            <w:vAlign w:val="center"/>
          </w:tcPr>
          <w:p w:rsidR="004E5B3E" w:rsidRDefault="00CF7D63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>
              <w:rPr>
                <w:rFonts w:ascii="gobCL" w:hAnsi="gobCL"/>
                <w:color w:val="000000" w:themeColor="text1"/>
                <w:sz w:val="22"/>
                <w:szCs w:val="22"/>
              </w:rPr>
              <w:t>1,7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Sistema de Agrupamiento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4E5B3E" w:rsidP="0025560F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 w:themeColor="text1"/>
                <w:sz w:val="22"/>
                <w:szCs w:val="22"/>
              </w:rPr>
              <w:t>Aislado</w:t>
            </w:r>
            <w:r w:rsidR="00CF7D63">
              <w:rPr>
                <w:rFonts w:ascii="gobCL" w:hAnsi="gobCL"/>
                <w:color w:val="000000" w:themeColor="text1"/>
                <w:sz w:val="22"/>
                <w:szCs w:val="22"/>
              </w:rPr>
              <w:t xml:space="preserve"> y Pareado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Altura máxima de   Edificación (m)</w:t>
            </w:r>
          </w:p>
        </w:tc>
        <w:tc>
          <w:tcPr>
            <w:tcW w:w="2357" w:type="pct"/>
            <w:gridSpan w:val="2"/>
            <w:vAlign w:val="center"/>
          </w:tcPr>
          <w:p w:rsidR="004E5B3E" w:rsidRDefault="004E5B3E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>
              <w:rPr>
                <w:rFonts w:ascii="gobCL" w:hAnsi="gobCL"/>
                <w:color w:val="000000" w:themeColor="text1"/>
                <w:sz w:val="22"/>
                <w:szCs w:val="22"/>
              </w:rPr>
              <w:t>18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Antejardín (m)</w:t>
            </w:r>
          </w:p>
        </w:tc>
        <w:tc>
          <w:tcPr>
            <w:tcW w:w="2357" w:type="pct"/>
            <w:gridSpan w:val="2"/>
            <w:vAlign w:val="center"/>
          </w:tcPr>
          <w:p w:rsidR="004E5B3E" w:rsidRDefault="004E5B3E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>
              <w:rPr>
                <w:rFonts w:ascii="gobCL" w:hAnsi="gobCL"/>
                <w:color w:val="000000" w:themeColor="text1"/>
                <w:sz w:val="22"/>
                <w:szCs w:val="22"/>
              </w:rPr>
              <w:t xml:space="preserve">1 </w:t>
            </w:r>
            <w:r w:rsidRPr="00B2232A">
              <w:rPr>
                <w:rFonts w:ascii="gobCL" w:hAnsi="gobCL"/>
                <w:color w:val="000000" w:themeColor="text1"/>
                <w:sz w:val="22"/>
                <w:szCs w:val="22"/>
              </w:rPr>
              <w:t>m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bCs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Densidad Bruta  Máxima (Habitantes/hectárea)</w:t>
            </w:r>
          </w:p>
        </w:tc>
        <w:tc>
          <w:tcPr>
            <w:tcW w:w="2357" w:type="pct"/>
            <w:gridSpan w:val="2"/>
            <w:vAlign w:val="center"/>
          </w:tcPr>
          <w:p w:rsidR="004E5B3E" w:rsidRDefault="0025560F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auto"/>
                <w:sz w:val="22"/>
                <w:szCs w:val="22"/>
              </w:rPr>
            </w:pPr>
            <w:r>
              <w:rPr>
                <w:rFonts w:ascii="gobCL" w:hAnsi="gobCL"/>
                <w:color w:val="auto"/>
                <w:sz w:val="22"/>
                <w:szCs w:val="22"/>
              </w:rPr>
              <w:t>800</w:t>
            </w:r>
          </w:p>
        </w:tc>
      </w:tr>
    </w:tbl>
    <w:p w:rsidR="004E5B3E" w:rsidRDefault="004E5B3E" w:rsidP="004E5B3E">
      <w:pPr>
        <w:spacing w:after="0"/>
        <w:jc w:val="both"/>
        <w:rPr>
          <w:rFonts w:ascii="gobCL" w:hAnsi="gob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9"/>
        <w:gridCol w:w="141"/>
        <w:gridCol w:w="4130"/>
      </w:tblGrid>
      <w:tr w:rsidR="004E5B3E" w:rsidRPr="00B2232A" w:rsidTr="007044FC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Z-G</w:t>
            </w:r>
            <w:r>
              <w:rPr>
                <w:rFonts w:ascii="gobCL" w:hAnsi="gobC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USOS DE SUELO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1319" w:type="pct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TIPO DE USO</w:t>
            </w:r>
          </w:p>
        </w:tc>
        <w:tc>
          <w:tcPr>
            <w:tcW w:w="1402" w:type="pct"/>
            <w:gridSpan w:val="2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PERMITIDOS</w:t>
            </w:r>
          </w:p>
        </w:tc>
        <w:tc>
          <w:tcPr>
            <w:tcW w:w="2279" w:type="pct"/>
            <w:shd w:val="clear" w:color="auto" w:fill="D9D9D9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b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/>
                <w:color w:val="000000"/>
                <w:sz w:val="22"/>
                <w:szCs w:val="22"/>
              </w:rPr>
              <w:t>PROHIBIDOS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RESIDENCIAL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EQUIPAMIENTO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Científico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Comercio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bCs/>
                <w:color w:val="000000"/>
                <w:sz w:val="22"/>
                <w:szCs w:val="22"/>
              </w:rPr>
              <w:t>T</w:t>
            </w: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erminales de distribución, discotecas y quintas de recreo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Educación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C</w:t>
            </w: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entro de rehabilitación conductual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Deporte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Estadio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Esparcimiento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bCs/>
                <w:color w:val="000000"/>
                <w:sz w:val="22"/>
                <w:szCs w:val="22"/>
              </w:rPr>
              <w:t>P</w:t>
            </w: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arque zoológico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Salud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 xml:space="preserve">Permitido 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C</w:t>
            </w: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ementerio y crematorio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Servicios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Social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Cultura / Culto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Seguridad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 xml:space="preserve">Permitido 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>
              <w:rPr>
                <w:rFonts w:ascii="gobCL" w:hAnsi="gobCL"/>
                <w:color w:val="000000"/>
                <w:sz w:val="22"/>
                <w:szCs w:val="22"/>
              </w:rPr>
              <w:t>C</w:t>
            </w: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árcel y centro de detención</w:t>
            </w: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ACTIVIDADES  PRODUCTIVAS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Prohibido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INFRAESTRUCTURA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Prohibido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ESPACIO PUBLICO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jc w:val="center"/>
        </w:trPr>
        <w:tc>
          <w:tcPr>
            <w:tcW w:w="1319" w:type="pct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AREAS VERDES</w:t>
            </w:r>
          </w:p>
        </w:tc>
        <w:tc>
          <w:tcPr>
            <w:tcW w:w="1402" w:type="pct"/>
            <w:gridSpan w:val="2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/>
                <w:sz w:val="22"/>
                <w:szCs w:val="22"/>
              </w:rPr>
              <w:t>Permitido</w:t>
            </w:r>
          </w:p>
        </w:tc>
        <w:tc>
          <w:tcPr>
            <w:tcW w:w="2279" w:type="pct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hAnsi="gobCL"/>
                <w:color w:val="000000"/>
                <w:sz w:val="22"/>
                <w:szCs w:val="22"/>
              </w:rPr>
            </w:pP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rPr>
                <w:rFonts w:ascii="gobCL" w:eastAsia="Times New Roman" w:hAnsi="gobCL" w:cs="Arial"/>
                <w:b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/>
                <w:bCs/>
                <w:color w:val="auto"/>
                <w:sz w:val="22"/>
                <w:szCs w:val="22"/>
              </w:rPr>
              <w:t>CONDICIONES DE SUBDIVISION Y EDIFICACION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Superficie de Subdivisión Predial Mínima (m</w:t>
            </w: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  <w:vertAlign w:val="superscript"/>
              </w:rPr>
              <w:t>2</w:t>
            </w:r>
            <w:r w:rsidRPr="00B2232A">
              <w:rPr>
                <w:rFonts w:ascii="gobCL" w:eastAsia="Times New Roman" w:hAnsi="gobCL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4E5B3E" w:rsidP="0025560F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 w:rsidRPr="00B2232A">
              <w:rPr>
                <w:rFonts w:ascii="gobCL" w:hAnsi="gobCL"/>
                <w:color w:val="000000" w:themeColor="text1"/>
                <w:sz w:val="22"/>
                <w:szCs w:val="22"/>
              </w:rPr>
              <w:t>80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Coeficiente de Ocupación  de Suelo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25560F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>
              <w:rPr>
                <w:rFonts w:ascii="gobCL" w:hAnsi="gobCL"/>
                <w:color w:val="000000" w:themeColor="text1"/>
                <w:sz w:val="22"/>
                <w:szCs w:val="22"/>
              </w:rPr>
              <w:t>0,8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Coeficiente de Constructibilidad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F71D1C" w:rsidP="0025560F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>
              <w:rPr>
                <w:rFonts w:ascii="gobCL" w:hAnsi="gobCL"/>
                <w:color w:val="000000" w:themeColor="text1"/>
                <w:sz w:val="22"/>
                <w:szCs w:val="22"/>
              </w:rPr>
              <w:t>1</w:t>
            </w:r>
            <w:r w:rsidR="00742844">
              <w:rPr>
                <w:rFonts w:ascii="gobCL" w:hAnsi="gobC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Sistema de Agrupamiento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 w:rsidRPr="00E2201A">
              <w:rPr>
                <w:rFonts w:ascii="gobCL" w:hAnsi="gobCL"/>
                <w:color w:val="000000" w:themeColor="text1"/>
                <w:sz w:val="22"/>
                <w:szCs w:val="22"/>
              </w:rPr>
              <w:t>Aislado</w:t>
            </w:r>
            <w:r w:rsidR="003E11AF">
              <w:rPr>
                <w:rFonts w:ascii="gobCL" w:hAnsi="gobCL"/>
                <w:color w:val="000000" w:themeColor="text1"/>
                <w:sz w:val="22"/>
                <w:szCs w:val="22"/>
              </w:rPr>
              <w:t xml:space="preserve"> y Pareado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Altura máxima de   Edificación (m)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000000" w:themeColor="text1"/>
                <w:sz w:val="22"/>
                <w:szCs w:val="22"/>
              </w:rPr>
            </w:pPr>
            <w:r>
              <w:rPr>
                <w:rFonts w:ascii="gobCL" w:hAnsi="gobCL"/>
                <w:color w:val="000000" w:themeColor="text1"/>
                <w:sz w:val="22"/>
                <w:szCs w:val="22"/>
              </w:rPr>
              <w:t>7 m</w:t>
            </w:r>
            <w:r w:rsidRPr="00E2201A">
              <w:rPr>
                <w:rFonts w:ascii="gobCL" w:hAnsi="gobC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2643" w:type="pct"/>
            <w:gridSpan w:val="2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firstLine="73"/>
              <w:rPr>
                <w:rFonts w:ascii="gobCL" w:hAnsi="gobCL"/>
                <w:bCs/>
                <w:color w:val="000000"/>
                <w:sz w:val="22"/>
                <w:szCs w:val="22"/>
              </w:rPr>
            </w:pPr>
            <w:r w:rsidRPr="00B2232A">
              <w:rPr>
                <w:rFonts w:ascii="gobCL" w:hAnsi="gobCL"/>
                <w:bCs/>
                <w:color w:val="000000"/>
                <w:sz w:val="22"/>
                <w:szCs w:val="22"/>
              </w:rPr>
              <w:t>Densidad Bruta  Máxima (Habitantes/hectárea)</w:t>
            </w:r>
          </w:p>
        </w:tc>
        <w:tc>
          <w:tcPr>
            <w:tcW w:w="2357" w:type="pct"/>
            <w:gridSpan w:val="2"/>
            <w:vAlign w:val="center"/>
          </w:tcPr>
          <w:p w:rsidR="004E5B3E" w:rsidRPr="00B2232A" w:rsidRDefault="003E11AF" w:rsidP="007044FC">
            <w:pPr>
              <w:pStyle w:val="Textoindependiente"/>
              <w:spacing w:line="276" w:lineRule="auto"/>
              <w:ind w:firstLine="201"/>
              <w:rPr>
                <w:rFonts w:ascii="gobCL" w:hAnsi="gobCL"/>
                <w:color w:val="FF0000"/>
                <w:sz w:val="22"/>
                <w:szCs w:val="22"/>
              </w:rPr>
            </w:pPr>
            <w:r>
              <w:rPr>
                <w:rFonts w:ascii="gobCL" w:hAnsi="gobCL"/>
                <w:color w:val="auto"/>
                <w:sz w:val="22"/>
                <w:szCs w:val="22"/>
              </w:rPr>
              <w:t>450</w:t>
            </w:r>
          </w:p>
        </w:tc>
      </w:tr>
    </w:tbl>
    <w:p w:rsidR="004E5B3E" w:rsidRDefault="004E5B3E" w:rsidP="004E5B3E">
      <w:pPr>
        <w:spacing w:after="0"/>
        <w:jc w:val="both"/>
        <w:rPr>
          <w:rFonts w:ascii="gobCL" w:hAnsi="gobCL"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5361"/>
      </w:tblGrid>
      <w:tr w:rsidR="004E5B3E" w:rsidRPr="00B2232A" w:rsidTr="007044FC">
        <w:trPr>
          <w:trHeight w:val="227"/>
          <w:jc w:val="center"/>
        </w:trPr>
        <w:tc>
          <w:tcPr>
            <w:tcW w:w="9202" w:type="dxa"/>
            <w:gridSpan w:val="2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  <w:t>Z-N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9202" w:type="dxa"/>
            <w:gridSpan w:val="2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  <w:t>USOS DE SUELO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3841" w:type="dxa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  <w:t>TIPO DE USO</w:t>
            </w:r>
          </w:p>
        </w:tc>
        <w:tc>
          <w:tcPr>
            <w:tcW w:w="5361" w:type="dxa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  <w:t>PROHIBIDOS</w:t>
            </w:r>
          </w:p>
        </w:tc>
      </w:tr>
      <w:tr w:rsidR="004E5B3E" w:rsidRPr="00B2232A" w:rsidTr="007044FC">
        <w:trPr>
          <w:jc w:val="center"/>
        </w:trPr>
        <w:tc>
          <w:tcPr>
            <w:tcW w:w="384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RESIDENCIAL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jc w:val="center"/>
        </w:trPr>
        <w:tc>
          <w:tcPr>
            <w:tcW w:w="384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EQUIPAMIENTO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Científico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Comercio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Educación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Deporte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Esparcimiento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Salud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Servicios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lastRenderedPageBreak/>
              <w:t>Social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Cultura / Culto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181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Seguridad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trHeight w:val="64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ACTIVIDADES  PRODUCTIVAS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INFRAESTRUCTURA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Prohibido</w:t>
            </w:r>
          </w:p>
        </w:tc>
      </w:tr>
      <w:tr w:rsidR="004E5B3E" w:rsidRPr="00B2232A" w:rsidTr="007044FC">
        <w:trPr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ESPACIO PUBLICO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Permitido</w:t>
            </w:r>
          </w:p>
        </w:tc>
      </w:tr>
      <w:tr w:rsidR="004E5B3E" w:rsidRPr="00B2232A" w:rsidTr="007044FC">
        <w:trPr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AREAS VERDES</w:t>
            </w:r>
          </w:p>
        </w:tc>
        <w:tc>
          <w:tcPr>
            <w:tcW w:w="5361" w:type="dxa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Permitido</w:t>
            </w:r>
          </w:p>
        </w:tc>
      </w:tr>
      <w:tr w:rsidR="004E5B3E" w:rsidRPr="00B2232A" w:rsidTr="007044FC">
        <w:trPr>
          <w:trHeight w:val="227"/>
          <w:jc w:val="center"/>
        </w:trPr>
        <w:tc>
          <w:tcPr>
            <w:tcW w:w="9202" w:type="dxa"/>
            <w:gridSpan w:val="2"/>
            <w:shd w:val="clear" w:color="auto" w:fill="D9D9D9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/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/>
                <w:bCs/>
                <w:color w:val="auto"/>
                <w:sz w:val="22"/>
                <w:szCs w:val="22"/>
              </w:rPr>
              <w:t>CONDICIONES DE SUBDIVISION Y EDIFICACION</w:t>
            </w:r>
          </w:p>
        </w:tc>
      </w:tr>
      <w:tr w:rsidR="004E5B3E" w:rsidRPr="00B2232A" w:rsidTr="007044FC">
        <w:trPr>
          <w:trHeight w:val="210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Superficie de Subdivisión Predial Mínima (m</w:t>
            </w: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  <w:vertAlign w:val="superscript"/>
              </w:rPr>
              <w:t>2</w:t>
            </w: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5361" w:type="dxa"/>
            <w:vAlign w:val="center"/>
          </w:tcPr>
          <w:p w:rsidR="004E5B3E" w:rsidRPr="004D4C57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4D4C57">
              <w:rPr>
                <w:rFonts w:ascii="gobCL" w:hAnsi="gobCL" w:cs="Arial"/>
                <w:bCs/>
                <w:color w:val="auto"/>
                <w:sz w:val="22"/>
                <w:szCs w:val="22"/>
              </w:rPr>
              <w:t>5.000</w:t>
            </w:r>
          </w:p>
        </w:tc>
      </w:tr>
      <w:tr w:rsidR="004E5B3E" w:rsidRPr="00B2232A" w:rsidTr="007044FC">
        <w:trPr>
          <w:trHeight w:val="210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Coeficiente de Ocupación  de Suelo</w:t>
            </w:r>
          </w:p>
        </w:tc>
        <w:tc>
          <w:tcPr>
            <w:tcW w:w="5361" w:type="dxa"/>
            <w:vAlign w:val="center"/>
          </w:tcPr>
          <w:p w:rsidR="004E5B3E" w:rsidRPr="004D4C57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4D4C57">
              <w:rPr>
                <w:rFonts w:ascii="gobCL" w:hAnsi="gobCL" w:cs="Arial"/>
                <w:bCs/>
                <w:color w:val="auto"/>
                <w:sz w:val="22"/>
                <w:szCs w:val="22"/>
              </w:rPr>
              <w:t>0,1</w:t>
            </w:r>
          </w:p>
        </w:tc>
      </w:tr>
      <w:tr w:rsidR="004E5B3E" w:rsidRPr="00B2232A" w:rsidTr="007044FC">
        <w:trPr>
          <w:trHeight w:val="210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Coeficiente de Constructibilidad</w:t>
            </w:r>
          </w:p>
        </w:tc>
        <w:tc>
          <w:tcPr>
            <w:tcW w:w="5361" w:type="dxa"/>
            <w:vAlign w:val="center"/>
          </w:tcPr>
          <w:p w:rsidR="004E5B3E" w:rsidRPr="004D4C57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4D4C57">
              <w:rPr>
                <w:rFonts w:ascii="gobCL" w:hAnsi="gobCL" w:cs="Arial"/>
                <w:bCs/>
                <w:color w:val="auto"/>
                <w:sz w:val="22"/>
                <w:szCs w:val="22"/>
              </w:rPr>
              <w:t>0,1</w:t>
            </w:r>
          </w:p>
        </w:tc>
      </w:tr>
      <w:tr w:rsidR="004E5B3E" w:rsidRPr="00B2232A" w:rsidTr="007044FC">
        <w:trPr>
          <w:trHeight w:val="210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Sistema de Agrupamiento</w:t>
            </w:r>
          </w:p>
        </w:tc>
        <w:tc>
          <w:tcPr>
            <w:tcW w:w="5361" w:type="dxa"/>
            <w:vAlign w:val="center"/>
          </w:tcPr>
          <w:p w:rsidR="004E5B3E" w:rsidRPr="004D4C57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4D4C57">
              <w:rPr>
                <w:rFonts w:ascii="gobCL" w:hAnsi="gobCL" w:cs="Arial"/>
                <w:bCs/>
                <w:color w:val="auto"/>
                <w:sz w:val="22"/>
                <w:szCs w:val="22"/>
              </w:rPr>
              <w:t>Aislado</w:t>
            </w:r>
          </w:p>
        </w:tc>
      </w:tr>
      <w:tr w:rsidR="004E5B3E" w:rsidRPr="00B2232A" w:rsidTr="007044FC">
        <w:trPr>
          <w:trHeight w:val="210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Altura máxima de   Edificación (m)</w:t>
            </w:r>
          </w:p>
        </w:tc>
        <w:tc>
          <w:tcPr>
            <w:tcW w:w="5361" w:type="dxa"/>
            <w:vAlign w:val="center"/>
          </w:tcPr>
          <w:p w:rsidR="004E5B3E" w:rsidRPr="004D4C57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4D4C57">
              <w:rPr>
                <w:rFonts w:ascii="gobCL" w:hAnsi="gobCL" w:cs="Arial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4E5B3E" w:rsidRPr="00B2232A" w:rsidTr="007044FC">
        <w:trPr>
          <w:trHeight w:val="210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Antejardín (m)</w:t>
            </w:r>
          </w:p>
        </w:tc>
        <w:tc>
          <w:tcPr>
            <w:tcW w:w="5361" w:type="dxa"/>
            <w:vAlign w:val="bottom"/>
          </w:tcPr>
          <w:p w:rsidR="004E5B3E" w:rsidRPr="004D4C57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4D4C57">
              <w:rPr>
                <w:rFonts w:ascii="gobCL" w:hAnsi="gobCL" w:cs="Arial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4E5B3E" w:rsidRPr="00B2232A" w:rsidTr="007044FC">
        <w:trPr>
          <w:trHeight w:val="210"/>
          <w:jc w:val="center"/>
        </w:trPr>
        <w:tc>
          <w:tcPr>
            <w:tcW w:w="3841" w:type="dxa"/>
            <w:vAlign w:val="center"/>
          </w:tcPr>
          <w:p w:rsidR="004E5B3E" w:rsidRPr="00B2232A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 w:rsidRPr="00B2232A">
              <w:rPr>
                <w:rFonts w:ascii="gobCL" w:hAnsi="gobCL" w:cs="Arial"/>
                <w:bCs/>
                <w:color w:val="auto"/>
                <w:sz w:val="22"/>
                <w:szCs w:val="22"/>
              </w:rPr>
              <w:t>Densidad Bruta  Máxima (Habitantes/hectárea)</w:t>
            </w:r>
          </w:p>
        </w:tc>
        <w:tc>
          <w:tcPr>
            <w:tcW w:w="5361" w:type="dxa"/>
            <w:vAlign w:val="bottom"/>
          </w:tcPr>
          <w:p w:rsidR="004E5B3E" w:rsidRPr="004D4C57" w:rsidRDefault="004E5B3E" w:rsidP="007044FC">
            <w:pPr>
              <w:pStyle w:val="Textoindependiente"/>
              <w:spacing w:line="276" w:lineRule="auto"/>
              <w:ind w:left="113" w:right="113" w:firstLine="102"/>
              <w:rPr>
                <w:rFonts w:ascii="gobCL" w:hAnsi="gobCL" w:cs="Arial"/>
                <w:bCs/>
                <w:color w:val="auto"/>
                <w:sz w:val="22"/>
                <w:szCs w:val="22"/>
              </w:rPr>
            </w:pPr>
            <w:r>
              <w:rPr>
                <w:rFonts w:ascii="gobCL" w:hAnsi="gobCL" w:cs="Arial"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4E5B3E" w:rsidRPr="007415D1" w:rsidRDefault="004E5B3E" w:rsidP="004E5B3E">
      <w:pPr>
        <w:spacing w:after="0"/>
        <w:jc w:val="both"/>
        <w:rPr>
          <w:rFonts w:ascii="gobCL" w:hAnsi="gobCL"/>
          <w:b/>
          <w:color w:val="FF0000"/>
        </w:rPr>
      </w:pPr>
    </w:p>
    <w:p w:rsidR="004E5B3E" w:rsidRPr="00AB692C" w:rsidRDefault="004E5B3E" w:rsidP="004E5B3E">
      <w:pPr>
        <w:spacing w:after="0"/>
        <w:jc w:val="both"/>
        <w:rPr>
          <w:rFonts w:ascii="gobCL" w:hAnsi="gobCL"/>
        </w:rPr>
      </w:pPr>
      <w:r w:rsidRPr="00AB692C">
        <w:rPr>
          <w:rFonts w:ascii="gobCL" w:hAnsi="gobCL"/>
          <w:b/>
        </w:rPr>
        <w:t xml:space="preserve">Artículo 4°: </w:t>
      </w:r>
      <w:r w:rsidRPr="00AB692C">
        <w:rPr>
          <w:rFonts w:ascii="gobCL" w:hAnsi="gobCL"/>
        </w:rPr>
        <w:t>Incorpórense a continuación del artículo 3° de la Ordenanza Local y antes del Artículo 4°, el siguiente artículo:</w:t>
      </w:r>
    </w:p>
    <w:p w:rsidR="004E5B3E" w:rsidRDefault="004E5B3E" w:rsidP="004E5B3E">
      <w:pPr>
        <w:spacing w:after="0"/>
        <w:jc w:val="both"/>
        <w:rPr>
          <w:rFonts w:ascii="gobCL" w:hAnsi="gobCL"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</w:p>
    <w:p w:rsidR="004E5B3E" w:rsidRDefault="004E5B3E" w:rsidP="006612CF">
      <w:pPr>
        <w:spacing w:after="0"/>
        <w:jc w:val="both"/>
        <w:rPr>
          <w:rFonts w:ascii="gobCL" w:hAnsi="gobCL"/>
        </w:rPr>
      </w:pPr>
      <w:r w:rsidRPr="006612CF">
        <w:rPr>
          <w:rFonts w:ascii="gobCL" w:hAnsi="gobCL"/>
          <w:b/>
        </w:rPr>
        <w:t>Artículo 3° bis</w:t>
      </w:r>
      <w:r w:rsidRPr="007415D1">
        <w:rPr>
          <w:rFonts w:ascii="gobCL" w:hAnsi="gobCL"/>
        </w:rPr>
        <w:t>: Áreas de Riesgo</w:t>
      </w:r>
    </w:p>
    <w:p w:rsidR="006612CF" w:rsidRPr="006612CF" w:rsidRDefault="006612CF" w:rsidP="006612CF">
      <w:pPr>
        <w:spacing w:after="0"/>
        <w:jc w:val="both"/>
        <w:rPr>
          <w:rFonts w:ascii="gobCL" w:hAnsi="gobCL"/>
        </w:rPr>
      </w:pPr>
    </w:p>
    <w:p w:rsidR="004E5B3E" w:rsidRPr="00B2232A" w:rsidRDefault="004E5B3E" w:rsidP="004E5B3E">
      <w:pPr>
        <w:spacing w:after="0"/>
        <w:ind w:left="708"/>
        <w:jc w:val="both"/>
        <w:rPr>
          <w:rFonts w:ascii="gobCL" w:hAnsi="gobCL"/>
          <w:b/>
          <w:bCs/>
          <w:i/>
          <w:iCs/>
        </w:rPr>
      </w:pPr>
      <w:r w:rsidRPr="00B2232A">
        <w:rPr>
          <w:rFonts w:ascii="gobCL" w:hAnsi="gobCL"/>
          <w:b/>
          <w:bCs/>
          <w:iCs/>
        </w:rPr>
        <w:t>AR-1 Áreas de Riesgo Natural Inundables o Potencialmente Inundables</w:t>
      </w:r>
    </w:p>
    <w:p w:rsidR="004E5B3E" w:rsidRPr="00B2232A" w:rsidRDefault="004E5B3E" w:rsidP="004E5B3E">
      <w:pPr>
        <w:spacing w:after="0"/>
        <w:ind w:left="708"/>
        <w:jc w:val="both"/>
        <w:rPr>
          <w:rFonts w:ascii="gobCL" w:hAnsi="gobCL"/>
        </w:rPr>
      </w:pPr>
      <w:r w:rsidRPr="00B2232A">
        <w:rPr>
          <w:rFonts w:ascii="gobCL" w:hAnsi="gobCL"/>
        </w:rPr>
        <w:t>Las condiciones urbanísticas aplicables en esta área, una vez que se cumpla con lo establecido en el artículo 2.1.17. de la OGUC, son las correspondientes a la zona establecida en el artículo 4º de esta ordenanza local.</w:t>
      </w:r>
    </w:p>
    <w:p w:rsidR="004E5B3E" w:rsidRPr="00B2232A" w:rsidRDefault="004E5B3E" w:rsidP="004E5B3E">
      <w:pPr>
        <w:spacing w:after="0"/>
        <w:ind w:left="708"/>
        <w:jc w:val="both"/>
        <w:rPr>
          <w:rFonts w:ascii="gobCL" w:hAnsi="gobCL"/>
          <w:b/>
        </w:rPr>
      </w:pPr>
    </w:p>
    <w:p w:rsidR="004E5B3E" w:rsidRPr="00B2232A" w:rsidRDefault="004E5B3E" w:rsidP="004E5B3E">
      <w:pPr>
        <w:spacing w:after="0"/>
        <w:ind w:left="708"/>
        <w:jc w:val="both"/>
        <w:rPr>
          <w:rFonts w:ascii="gobCL" w:hAnsi="gobCL"/>
          <w:b/>
          <w:bCs/>
          <w:iCs/>
        </w:rPr>
      </w:pPr>
      <w:r w:rsidRPr="00B2232A">
        <w:rPr>
          <w:rFonts w:ascii="gobCL" w:hAnsi="gobCL"/>
          <w:b/>
          <w:bCs/>
          <w:iCs/>
        </w:rPr>
        <w:t>AR-2 Áreas de Riesgo Natural propensas a avalanchas, rodados, aluviones o erosiones acentuadas</w:t>
      </w:r>
    </w:p>
    <w:p w:rsidR="004E5B3E" w:rsidRPr="00B2232A" w:rsidRDefault="004E5B3E" w:rsidP="004E5B3E">
      <w:pPr>
        <w:spacing w:after="0"/>
        <w:ind w:left="708"/>
        <w:jc w:val="both"/>
        <w:rPr>
          <w:rFonts w:ascii="gobCL" w:hAnsi="gobCL"/>
        </w:rPr>
      </w:pPr>
      <w:r w:rsidRPr="00B2232A">
        <w:rPr>
          <w:rFonts w:ascii="gobCL" w:hAnsi="gobCL"/>
        </w:rPr>
        <w:t>Las condiciones urbanísticas aplicables en esta área, una vez que se cumpla con lo establecido en el artículo 2.1.17. de la OGUC, son las correspondientes a la zona establecida en el artículo 4º de esta ordenanza local.</w:t>
      </w: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</w:p>
    <w:p w:rsidR="004E5B3E" w:rsidRDefault="004E5B3E" w:rsidP="004E5B3E">
      <w:pPr>
        <w:spacing w:after="0"/>
        <w:jc w:val="both"/>
        <w:rPr>
          <w:rFonts w:ascii="gobCL" w:hAnsi="gobCL"/>
        </w:rPr>
      </w:pPr>
      <w:r w:rsidRPr="00B2232A">
        <w:rPr>
          <w:rFonts w:ascii="gobCL" w:hAnsi="gobCL"/>
          <w:b/>
        </w:rPr>
        <w:t xml:space="preserve">Artículo 5°: </w:t>
      </w:r>
      <w:r w:rsidRPr="00B2232A">
        <w:rPr>
          <w:rFonts w:ascii="gobCL" w:hAnsi="gobCL"/>
        </w:rPr>
        <w:t>Agréguese a continuación del cuadro de Vialidad Estructurarte del Artículo 8°, l</w:t>
      </w:r>
      <w:r>
        <w:rPr>
          <w:rFonts w:ascii="gobCL" w:hAnsi="gobCL"/>
        </w:rPr>
        <w:t>os</w:t>
      </w:r>
      <w:r w:rsidRPr="00B2232A">
        <w:rPr>
          <w:rFonts w:ascii="gobCL" w:hAnsi="gobCL"/>
        </w:rPr>
        <w:t xml:space="preserve"> siguiente</w:t>
      </w:r>
      <w:r>
        <w:rPr>
          <w:rFonts w:ascii="gobCL" w:hAnsi="gobCL"/>
        </w:rPr>
        <w:t>s</w:t>
      </w:r>
      <w:r w:rsidRPr="00B2232A">
        <w:rPr>
          <w:rFonts w:ascii="gobCL" w:hAnsi="gobCL"/>
        </w:rPr>
        <w:t xml:space="preserve"> </w:t>
      </w:r>
      <w:r>
        <w:rPr>
          <w:rFonts w:ascii="gobCL" w:hAnsi="gobCL"/>
        </w:rPr>
        <w:t>cuadros</w:t>
      </w:r>
      <w:r w:rsidRPr="00B2232A">
        <w:rPr>
          <w:rFonts w:ascii="gobCL" w:hAnsi="gobCL"/>
        </w:rPr>
        <w:t>:</w:t>
      </w:r>
    </w:p>
    <w:p w:rsidR="004E5B3E" w:rsidRDefault="004E5B3E" w:rsidP="004E5B3E">
      <w:pPr>
        <w:spacing w:after="0"/>
        <w:jc w:val="both"/>
        <w:rPr>
          <w:rFonts w:ascii="gobCL" w:hAnsi="gobCL"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  <w:r>
        <w:rPr>
          <w:rFonts w:ascii="gobCL" w:hAnsi="gobCL"/>
        </w:rPr>
        <w:t>En los terrenos afectos a la presente modificación, elimínense la declaratoria de utilidad pública de las siguientes vías</w:t>
      </w:r>
      <w:r w:rsidR="00F51D7F">
        <w:rPr>
          <w:rFonts w:ascii="gobCL" w:hAnsi="gobCL"/>
        </w:rPr>
        <w:t>, en el tramo que se indica</w:t>
      </w: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</w:p>
    <w:tbl>
      <w:tblPr>
        <w:tblStyle w:val="Tablaconcuadrcula"/>
        <w:tblW w:w="8984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1237"/>
        <w:gridCol w:w="1170"/>
        <w:gridCol w:w="1170"/>
        <w:gridCol w:w="1020"/>
        <w:gridCol w:w="1235"/>
        <w:gridCol w:w="1484"/>
      </w:tblGrid>
      <w:tr w:rsidR="004E5B3E" w:rsidRPr="006612CF" w:rsidTr="006612CF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COD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CATEGORIA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NOMBRE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TRAMO</w:t>
            </w:r>
          </w:p>
        </w:tc>
        <w:tc>
          <w:tcPr>
            <w:tcW w:w="2255" w:type="dxa"/>
            <w:gridSpan w:val="2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ANCHO ENTRE LINEAS OFICIALES (M)</w:t>
            </w:r>
          </w:p>
        </w:tc>
        <w:tc>
          <w:tcPr>
            <w:tcW w:w="1484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OBSERVACIONES</w:t>
            </w:r>
          </w:p>
        </w:tc>
      </w:tr>
      <w:tr w:rsidR="004E5B3E" w:rsidRPr="006612CF" w:rsidTr="006612CF">
        <w:tc>
          <w:tcPr>
            <w:tcW w:w="562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DESDE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HASTA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EXISTENTE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PROYECTADO</w:t>
            </w:r>
          </w:p>
        </w:tc>
        <w:tc>
          <w:tcPr>
            <w:tcW w:w="1484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</w:tr>
      <w:tr w:rsidR="004E5B3E" w:rsidRPr="006612CF" w:rsidTr="006612CF">
        <w:tc>
          <w:tcPr>
            <w:tcW w:w="562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01</w:t>
            </w:r>
          </w:p>
        </w:tc>
        <w:tc>
          <w:tcPr>
            <w:tcW w:w="1106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Colectora</w:t>
            </w:r>
          </w:p>
        </w:tc>
        <w:tc>
          <w:tcPr>
            <w:tcW w:w="1237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Avda. Parque Oriente Poniente</w:t>
            </w:r>
          </w:p>
        </w:tc>
        <w:tc>
          <w:tcPr>
            <w:tcW w:w="1170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35 metros al suroriente de Avda. Parque Norte Sur</w:t>
            </w:r>
          </w:p>
        </w:tc>
        <w:tc>
          <w:tcPr>
            <w:tcW w:w="1170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Calle 4</w:t>
            </w:r>
          </w:p>
        </w:tc>
        <w:tc>
          <w:tcPr>
            <w:tcW w:w="1020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32</w:t>
            </w:r>
          </w:p>
        </w:tc>
        <w:tc>
          <w:tcPr>
            <w:tcW w:w="1235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0</w:t>
            </w:r>
          </w:p>
        </w:tc>
        <w:tc>
          <w:tcPr>
            <w:tcW w:w="1484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Tramo de vía que se caduca, en atención a consideraciones ambientales, explicitadas en la Memoria Explicativa.</w:t>
            </w:r>
          </w:p>
        </w:tc>
      </w:tr>
    </w:tbl>
    <w:p w:rsidR="004E5B3E" w:rsidRDefault="004E5B3E" w:rsidP="004E5B3E">
      <w:pPr>
        <w:spacing w:after="0"/>
        <w:jc w:val="both"/>
        <w:rPr>
          <w:rFonts w:ascii="gobCL" w:hAnsi="gobCL"/>
          <w:b/>
        </w:rPr>
      </w:pPr>
    </w:p>
    <w:p w:rsidR="00F51D7F" w:rsidRPr="00B2232A" w:rsidRDefault="00F51D7F" w:rsidP="00F51D7F">
      <w:pPr>
        <w:spacing w:after="0"/>
        <w:jc w:val="both"/>
        <w:rPr>
          <w:rFonts w:ascii="gobCL" w:hAnsi="gobCL"/>
        </w:rPr>
      </w:pPr>
      <w:r>
        <w:rPr>
          <w:rFonts w:ascii="gobCL" w:hAnsi="gobCL"/>
        </w:rPr>
        <w:t>En los terrenos afectos a la presente modificación, modifiquese la declaratoria de utilidad pública de las siguientes vías, en el tramo que se indica</w:t>
      </w:r>
    </w:p>
    <w:p w:rsidR="004E5B3E" w:rsidRDefault="004E5B3E" w:rsidP="004E5B3E">
      <w:pPr>
        <w:spacing w:after="0"/>
        <w:jc w:val="both"/>
        <w:rPr>
          <w:rFonts w:ascii="gobCL" w:hAnsi="gobCL"/>
        </w:rPr>
      </w:pPr>
    </w:p>
    <w:tbl>
      <w:tblPr>
        <w:tblStyle w:val="Tablaconcuadrcula"/>
        <w:tblW w:w="8984" w:type="dxa"/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1096"/>
        <w:gridCol w:w="1170"/>
        <w:gridCol w:w="853"/>
        <w:gridCol w:w="1276"/>
        <w:gridCol w:w="1275"/>
        <w:gridCol w:w="1505"/>
      </w:tblGrid>
      <w:tr w:rsidR="00F51D7F" w:rsidRPr="006612CF" w:rsidTr="006612CF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COD</w:t>
            </w:r>
          </w:p>
        </w:tc>
        <w:tc>
          <w:tcPr>
            <w:tcW w:w="1247" w:type="dxa"/>
            <w:vMerge w:val="restart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CATEGORIA</w:t>
            </w:r>
          </w:p>
        </w:tc>
        <w:tc>
          <w:tcPr>
            <w:tcW w:w="1096" w:type="dxa"/>
            <w:vMerge w:val="restart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NOMBRE</w:t>
            </w:r>
          </w:p>
        </w:tc>
        <w:tc>
          <w:tcPr>
            <w:tcW w:w="2023" w:type="dxa"/>
            <w:gridSpan w:val="2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TRAMO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ANCHO ENTRE LINEAS OFICIALES (M)</w:t>
            </w:r>
          </w:p>
        </w:tc>
        <w:tc>
          <w:tcPr>
            <w:tcW w:w="1505" w:type="dxa"/>
            <w:vMerge w:val="restart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OBSERVACIONES</w:t>
            </w:r>
          </w:p>
        </w:tc>
      </w:tr>
      <w:tr w:rsidR="00F51D7F" w:rsidRPr="006612CF" w:rsidTr="006612CF">
        <w:tc>
          <w:tcPr>
            <w:tcW w:w="562" w:type="dxa"/>
            <w:vMerge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DESDE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HASTA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EXISTENTE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  <w:r w:rsidRPr="006612CF">
              <w:rPr>
                <w:rFonts w:ascii="gobCL" w:hAnsi="gobCL"/>
                <w:b/>
                <w:sz w:val="18"/>
              </w:rPr>
              <w:t>PROYECTADO</w:t>
            </w:r>
          </w:p>
        </w:tc>
        <w:tc>
          <w:tcPr>
            <w:tcW w:w="1505" w:type="dxa"/>
            <w:vMerge/>
            <w:shd w:val="clear" w:color="auto" w:fill="D9D9D9" w:themeFill="background1" w:themeFillShade="D9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b/>
                <w:sz w:val="18"/>
              </w:rPr>
            </w:pPr>
          </w:p>
        </w:tc>
      </w:tr>
      <w:tr w:rsidR="00F51D7F" w:rsidRPr="006612CF" w:rsidTr="006612CF">
        <w:tc>
          <w:tcPr>
            <w:tcW w:w="562" w:type="dxa"/>
          </w:tcPr>
          <w:p w:rsidR="00F51D7F" w:rsidRPr="006612CF" w:rsidRDefault="00F51D7F" w:rsidP="00F51D7F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02</w:t>
            </w:r>
          </w:p>
        </w:tc>
        <w:tc>
          <w:tcPr>
            <w:tcW w:w="1247" w:type="dxa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Colectora</w:t>
            </w:r>
          </w:p>
        </w:tc>
        <w:tc>
          <w:tcPr>
            <w:tcW w:w="1096" w:type="dxa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Avda. Parque Oriente Poniente</w:t>
            </w:r>
          </w:p>
        </w:tc>
        <w:tc>
          <w:tcPr>
            <w:tcW w:w="1170" w:type="dxa"/>
          </w:tcPr>
          <w:p w:rsidR="00F51D7F" w:rsidRPr="006612CF" w:rsidRDefault="00F51D7F" w:rsidP="00F51D7F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Calle 4</w:t>
            </w:r>
          </w:p>
        </w:tc>
        <w:tc>
          <w:tcPr>
            <w:tcW w:w="853" w:type="dxa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Hasta fin oriente de la vía</w:t>
            </w:r>
          </w:p>
        </w:tc>
        <w:tc>
          <w:tcPr>
            <w:tcW w:w="1276" w:type="dxa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32</w:t>
            </w:r>
          </w:p>
        </w:tc>
        <w:tc>
          <w:tcPr>
            <w:tcW w:w="1275" w:type="dxa"/>
          </w:tcPr>
          <w:p w:rsidR="00F51D7F" w:rsidRPr="006612CF" w:rsidRDefault="00F51D7F" w:rsidP="00DB04A8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12,5</w:t>
            </w:r>
          </w:p>
        </w:tc>
        <w:tc>
          <w:tcPr>
            <w:tcW w:w="1505" w:type="dxa"/>
          </w:tcPr>
          <w:p w:rsidR="00F51D7F" w:rsidRPr="006612CF" w:rsidRDefault="00F51D7F" w:rsidP="00F51D7F">
            <w:pPr>
              <w:jc w:val="both"/>
              <w:rPr>
                <w:rFonts w:ascii="gobCL" w:hAnsi="gobCL"/>
                <w:sz w:val="18"/>
              </w:rPr>
            </w:pPr>
            <w:r w:rsidRPr="006612CF">
              <w:rPr>
                <w:rFonts w:ascii="gobCL" w:hAnsi="gobCL"/>
                <w:sz w:val="18"/>
              </w:rPr>
              <w:t>Tramo de vía que se reduce su ancho en función del proyecto habitacional.</w:t>
            </w:r>
          </w:p>
        </w:tc>
      </w:tr>
    </w:tbl>
    <w:p w:rsidR="004E5B3E" w:rsidRDefault="004E5B3E" w:rsidP="004E5B3E">
      <w:pPr>
        <w:spacing w:after="0"/>
        <w:jc w:val="both"/>
        <w:rPr>
          <w:rFonts w:ascii="gobCL" w:hAnsi="gobCL"/>
        </w:rPr>
      </w:pPr>
    </w:p>
    <w:p w:rsidR="004E5B3E" w:rsidRDefault="004E5B3E" w:rsidP="004E5B3E">
      <w:pPr>
        <w:spacing w:after="0"/>
        <w:jc w:val="both"/>
        <w:rPr>
          <w:rFonts w:ascii="gobCL" w:hAnsi="gobCL"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  <w:r w:rsidRPr="00276BA7">
        <w:rPr>
          <w:rFonts w:ascii="gobCL" w:hAnsi="gobCL"/>
        </w:rPr>
        <w:t>Agréguese el trazado de las siguientes vías:</w:t>
      </w:r>
    </w:p>
    <w:tbl>
      <w:tblPr>
        <w:tblStyle w:val="Tablaconcuadrcula"/>
        <w:tblW w:w="8984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992"/>
        <w:gridCol w:w="1415"/>
        <w:gridCol w:w="1136"/>
        <w:gridCol w:w="1054"/>
        <w:gridCol w:w="1214"/>
        <w:gridCol w:w="1505"/>
      </w:tblGrid>
      <w:tr w:rsidR="004E5B3E" w:rsidRPr="006612CF" w:rsidTr="005561F9"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COD</w:t>
            </w:r>
          </w:p>
        </w:tc>
        <w:tc>
          <w:tcPr>
            <w:tcW w:w="1106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CATEGORIA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NOMBRE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TRAMO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E5B3E" w:rsidRPr="006612CF" w:rsidRDefault="004E5B3E" w:rsidP="00F51D7F">
            <w:pPr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ANCHO ENTRE LINEAS OFICIALES (M)</w:t>
            </w:r>
          </w:p>
        </w:tc>
        <w:tc>
          <w:tcPr>
            <w:tcW w:w="1505" w:type="dxa"/>
            <w:vMerge w:val="restart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OBSERVACIONES</w:t>
            </w:r>
          </w:p>
        </w:tc>
      </w:tr>
      <w:tr w:rsidR="004E5B3E" w:rsidRPr="006612CF" w:rsidTr="005561F9">
        <w:tc>
          <w:tcPr>
            <w:tcW w:w="562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DESDE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HASTA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4E5B3E" w:rsidRPr="006612CF" w:rsidRDefault="004E5B3E" w:rsidP="00F51D7F">
            <w:pPr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EXISTENTE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4E5B3E" w:rsidRPr="006612CF" w:rsidRDefault="004E5B3E" w:rsidP="00F51D7F">
            <w:pPr>
              <w:rPr>
                <w:rFonts w:ascii="gobCL" w:hAnsi="gobCL"/>
                <w:b/>
                <w:sz w:val="18"/>
                <w:szCs w:val="18"/>
              </w:rPr>
            </w:pPr>
            <w:r w:rsidRPr="006612CF">
              <w:rPr>
                <w:rFonts w:ascii="gobCL" w:hAnsi="gobCL"/>
                <w:b/>
                <w:sz w:val="18"/>
                <w:szCs w:val="18"/>
              </w:rPr>
              <w:t>PROYECTADO</w:t>
            </w:r>
          </w:p>
        </w:tc>
        <w:tc>
          <w:tcPr>
            <w:tcW w:w="1505" w:type="dxa"/>
            <w:vMerge/>
            <w:shd w:val="clear" w:color="auto" w:fill="D9D9D9" w:themeFill="background1" w:themeFillShade="D9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b/>
                <w:sz w:val="18"/>
                <w:szCs w:val="18"/>
              </w:rPr>
            </w:pPr>
          </w:p>
        </w:tc>
      </w:tr>
      <w:tr w:rsidR="004E5B3E" w:rsidRPr="006612CF" w:rsidTr="005561F9">
        <w:tc>
          <w:tcPr>
            <w:tcW w:w="562" w:type="dxa"/>
          </w:tcPr>
          <w:p w:rsidR="004E5B3E" w:rsidRPr="006612CF" w:rsidRDefault="004E5B3E" w:rsidP="00F51D7F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0</w:t>
            </w:r>
            <w:r w:rsidR="00F51D7F" w:rsidRPr="006612CF">
              <w:rPr>
                <w:rFonts w:ascii="gobCL" w:hAnsi="gobCL"/>
                <w:sz w:val="18"/>
                <w:szCs w:val="18"/>
              </w:rPr>
              <w:t>3</w:t>
            </w:r>
          </w:p>
        </w:tc>
        <w:tc>
          <w:tcPr>
            <w:tcW w:w="1106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Servicio</w:t>
            </w:r>
          </w:p>
        </w:tc>
        <w:tc>
          <w:tcPr>
            <w:tcW w:w="992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Avda. Parque Norte Sur</w:t>
            </w:r>
          </w:p>
        </w:tc>
        <w:tc>
          <w:tcPr>
            <w:tcW w:w="1415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Intersección con Avda. Parque Oriente Poniente</w:t>
            </w:r>
          </w:p>
        </w:tc>
        <w:tc>
          <w:tcPr>
            <w:tcW w:w="1136" w:type="dxa"/>
          </w:tcPr>
          <w:p w:rsidR="004E5B3E" w:rsidRPr="006612CF" w:rsidRDefault="000753E7" w:rsidP="000753E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</w:t>
            </w:r>
            <w:r w:rsidR="004E5B3E" w:rsidRPr="006612CF">
              <w:rPr>
                <w:rFonts w:ascii="gobCL" w:hAnsi="gobCL"/>
                <w:sz w:val="18"/>
                <w:szCs w:val="18"/>
              </w:rPr>
              <w:t xml:space="preserve">ntersección </w:t>
            </w:r>
            <w:r w:rsidRPr="006612CF">
              <w:rPr>
                <w:rFonts w:ascii="gobCL" w:hAnsi="gobCL"/>
                <w:sz w:val="18"/>
                <w:szCs w:val="18"/>
              </w:rPr>
              <w:t>con</w:t>
            </w:r>
            <w:r w:rsidR="004E5B3E" w:rsidRPr="006612CF">
              <w:rPr>
                <w:rFonts w:ascii="gobCL" w:hAnsi="gobCL"/>
                <w:sz w:val="18"/>
                <w:szCs w:val="18"/>
              </w:rPr>
              <w:t xml:space="preserve"> </w:t>
            </w:r>
            <w:r w:rsidRPr="006612CF">
              <w:rPr>
                <w:rFonts w:ascii="gobCL" w:hAnsi="gobCL"/>
                <w:sz w:val="18"/>
                <w:szCs w:val="18"/>
              </w:rPr>
              <w:t xml:space="preserve">extremo sur de </w:t>
            </w:r>
            <w:r w:rsidR="004E5B3E" w:rsidRPr="006612CF">
              <w:rPr>
                <w:rFonts w:ascii="gobCL" w:hAnsi="gobCL"/>
                <w:sz w:val="18"/>
                <w:szCs w:val="18"/>
              </w:rPr>
              <w:t>calle 2</w:t>
            </w:r>
          </w:p>
        </w:tc>
        <w:tc>
          <w:tcPr>
            <w:tcW w:w="1054" w:type="dxa"/>
          </w:tcPr>
          <w:p w:rsidR="004E5B3E" w:rsidRPr="006612CF" w:rsidRDefault="004E5B3E" w:rsidP="00F51D7F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E5B3E" w:rsidRPr="006612CF" w:rsidRDefault="004E5B3E" w:rsidP="00F51D7F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18</w:t>
            </w:r>
          </w:p>
        </w:tc>
        <w:tc>
          <w:tcPr>
            <w:tcW w:w="1505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</w:p>
        </w:tc>
      </w:tr>
      <w:tr w:rsidR="004E5B3E" w:rsidRPr="006612CF" w:rsidTr="005561F9">
        <w:tc>
          <w:tcPr>
            <w:tcW w:w="562" w:type="dxa"/>
          </w:tcPr>
          <w:p w:rsidR="004E5B3E" w:rsidRPr="006612CF" w:rsidRDefault="004E5B3E" w:rsidP="00F51D7F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0</w:t>
            </w:r>
            <w:r w:rsidR="00F51D7F" w:rsidRPr="006612CF">
              <w:rPr>
                <w:rFonts w:ascii="gobCL" w:hAnsi="gobCL"/>
                <w:sz w:val="18"/>
                <w:szCs w:val="18"/>
              </w:rPr>
              <w:t>4</w:t>
            </w:r>
          </w:p>
        </w:tc>
        <w:tc>
          <w:tcPr>
            <w:tcW w:w="1106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Local</w:t>
            </w:r>
          </w:p>
        </w:tc>
        <w:tc>
          <w:tcPr>
            <w:tcW w:w="992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Calle 1</w:t>
            </w:r>
          </w:p>
        </w:tc>
        <w:tc>
          <w:tcPr>
            <w:tcW w:w="1415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Intersección norte con Avda. Parque Oriente Poniente</w:t>
            </w:r>
          </w:p>
        </w:tc>
        <w:tc>
          <w:tcPr>
            <w:tcW w:w="1136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Intersección sur con Avda. Parque Norte Sur</w:t>
            </w:r>
          </w:p>
        </w:tc>
        <w:tc>
          <w:tcPr>
            <w:tcW w:w="1054" w:type="dxa"/>
          </w:tcPr>
          <w:p w:rsidR="004E5B3E" w:rsidRPr="006612CF" w:rsidRDefault="004E5B3E" w:rsidP="00F51D7F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4E5B3E" w:rsidRPr="006612CF" w:rsidRDefault="004E5B3E" w:rsidP="00F51D7F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11</w:t>
            </w:r>
          </w:p>
        </w:tc>
        <w:tc>
          <w:tcPr>
            <w:tcW w:w="1505" w:type="dxa"/>
          </w:tcPr>
          <w:p w:rsidR="004E5B3E" w:rsidRPr="006612CF" w:rsidRDefault="004E5B3E" w:rsidP="007044FC">
            <w:pPr>
              <w:jc w:val="both"/>
              <w:rPr>
                <w:rFonts w:ascii="gobCL" w:hAnsi="gobCL"/>
                <w:sz w:val="18"/>
                <w:szCs w:val="18"/>
              </w:rPr>
            </w:pPr>
          </w:p>
        </w:tc>
      </w:tr>
      <w:tr w:rsidR="00B04197" w:rsidRPr="006612CF" w:rsidTr="005561F9">
        <w:tc>
          <w:tcPr>
            <w:tcW w:w="562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05</w:t>
            </w:r>
          </w:p>
        </w:tc>
        <w:tc>
          <w:tcPr>
            <w:tcW w:w="1106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Local</w:t>
            </w:r>
          </w:p>
        </w:tc>
        <w:tc>
          <w:tcPr>
            <w:tcW w:w="992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Calle 2</w:t>
            </w:r>
          </w:p>
        </w:tc>
        <w:tc>
          <w:tcPr>
            <w:tcW w:w="1415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55 metros al oriente de Avda. Parque Norte Sur</w:t>
            </w:r>
          </w:p>
        </w:tc>
        <w:tc>
          <w:tcPr>
            <w:tcW w:w="1136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Intersección con Extremo Sur de Avda. Parque Norte Sur</w:t>
            </w:r>
          </w:p>
        </w:tc>
        <w:tc>
          <w:tcPr>
            <w:tcW w:w="1054" w:type="dxa"/>
          </w:tcPr>
          <w:p w:rsidR="00B04197" w:rsidRPr="006612CF" w:rsidRDefault="00B04197" w:rsidP="00B04197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B04197" w:rsidRPr="006612CF" w:rsidRDefault="00B04197" w:rsidP="00B04197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16,5 m. entre extremo oriente y 39 m. al oriente de Avda. Parque Norte Sur;</w:t>
            </w:r>
          </w:p>
          <w:p w:rsidR="00B04197" w:rsidRPr="006612CF" w:rsidRDefault="00B04197" w:rsidP="00B04197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11 m. desde 39 m. al oriente de Avda. Parque Norte Sur hasta extremo sur de la vía.</w:t>
            </w:r>
          </w:p>
        </w:tc>
        <w:tc>
          <w:tcPr>
            <w:tcW w:w="1505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</w:p>
        </w:tc>
      </w:tr>
      <w:tr w:rsidR="00B04197" w:rsidRPr="006612CF" w:rsidTr="005561F9">
        <w:trPr>
          <w:trHeight w:val="913"/>
        </w:trPr>
        <w:tc>
          <w:tcPr>
            <w:tcW w:w="562" w:type="dxa"/>
          </w:tcPr>
          <w:p w:rsidR="00B04197" w:rsidRPr="006612CF" w:rsidRDefault="00B04197" w:rsidP="005561F9">
            <w:pPr>
              <w:spacing w:after="0"/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06</w:t>
            </w:r>
          </w:p>
        </w:tc>
        <w:tc>
          <w:tcPr>
            <w:tcW w:w="1106" w:type="dxa"/>
          </w:tcPr>
          <w:p w:rsidR="00B04197" w:rsidRPr="006612CF" w:rsidRDefault="00B04197" w:rsidP="005561F9">
            <w:pPr>
              <w:spacing w:after="0"/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Local</w:t>
            </w:r>
          </w:p>
        </w:tc>
        <w:tc>
          <w:tcPr>
            <w:tcW w:w="992" w:type="dxa"/>
          </w:tcPr>
          <w:p w:rsidR="00B04197" w:rsidRPr="006612CF" w:rsidRDefault="00B04197" w:rsidP="005561F9">
            <w:pPr>
              <w:spacing w:after="0"/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Calle 3</w:t>
            </w:r>
          </w:p>
        </w:tc>
        <w:tc>
          <w:tcPr>
            <w:tcW w:w="1415" w:type="dxa"/>
          </w:tcPr>
          <w:p w:rsidR="00B04197" w:rsidRPr="006612CF" w:rsidRDefault="00B04197" w:rsidP="005561F9">
            <w:pPr>
              <w:spacing w:after="0"/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35 metros al suroriente de Avda. Parque Norte Sur</w:t>
            </w:r>
          </w:p>
        </w:tc>
        <w:tc>
          <w:tcPr>
            <w:tcW w:w="1136" w:type="dxa"/>
          </w:tcPr>
          <w:p w:rsidR="00B04197" w:rsidRPr="006612CF" w:rsidRDefault="00B04197" w:rsidP="005561F9">
            <w:pPr>
              <w:spacing w:after="0"/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Intersección con Calle Amatista</w:t>
            </w:r>
          </w:p>
        </w:tc>
        <w:tc>
          <w:tcPr>
            <w:tcW w:w="1054" w:type="dxa"/>
          </w:tcPr>
          <w:p w:rsidR="00B04197" w:rsidRPr="006612CF" w:rsidRDefault="00B04197" w:rsidP="005561F9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B04197" w:rsidRPr="006612CF" w:rsidRDefault="00B04197" w:rsidP="005561F9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11,5 m</w:t>
            </w:r>
          </w:p>
        </w:tc>
        <w:tc>
          <w:tcPr>
            <w:tcW w:w="1505" w:type="dxa"/>
          </w:tcPr>
          <w:p w:rsidR="00B04197" w:rsidRPr="006612CF" w:rsidRDefault="00B04197" w:rsidP="005561F9">
            <w:pPr>
              <w:spacing w:after="0"/>
              <w:jc w:val="both"/>
              <w:rPr>
                <w:rFonts w:ascii="gobCL" w:hAnsi="gobCL"/>
                <w:sz w:val="18"/>
                <w:szCs w:val="18"/>
              </w:rPr>
            </w:pPr>
          </w:p>
        </w:tc>
      </w:tr>
      <w:tr w:rsidR="00B04197" w:rsidRPr="006612CF" w:rsidTr="005561F9">
        <w:tc>
          <w:tcPr>
            <w:tcW w:w="562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07</w:t>
            </w:r>
          </w:p>
        </w:tc>
        <w:tc>
          <w:tcPr>
            <w:tcW w:w="1106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Local</w:t>
            </w:r>
          </w:p>
        </w:tc>
        <w:tc>
          <w:tcPr>
            <w:tcW w:w="992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Calle 4</w:t>
            </w:r>
          </w:p>
        </w:tc>
        <w:tc>
          <w:tcPr>
            <w:tcW w:w="1415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Intersección con Calle amatista</w:t>
            </w:r>
          </w:p>
        </w:tc>
        <w:tc>
          <w:tcPr>
            <w:tcW w:w="1136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Extremo Sur de la vía</w:t>
            </w:r>
          </w:p>
        </w:tc>
        <w:tc>
          <w:tcPr>
            <w:tcW w:w="1054" w:type="dxa"/>
          </w:tcPr>
          <w:p w:rsidR="00B04197" w:rsidRPr="006612CF" w:rsidRDefault="00B04197" w:rsidP="00B04197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B04197" w:rsidRPr="006612CF" w:rsidRDefault="00B04197" w:rsidP="00B04197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12 m entre Calle Amatista y Avda. Oriente Poniente</w:t>
            </w:r>
          </w:p>
          <w:p w:rsidR="00B04197" w:rsidRPr="006612CF" w:rsidRDefault="00B04197" w:rsidP="005561F9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12,5 m Entre Avda. Oriente Poniente y extremos sur de la vía.</w:t>
            </w:r>
          </w:p>
        </w:tc>
        <w:tc>
          <w:tcPr>
            <w:tcW w:w="1505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</w:p>
        </w:tc>
      </w:tr>
      <w:tr w:rsidR="00B04197" w:rsidRPr="006612CF" w:rsidTr="005561F9">
        <w:tc>
          <w:tcPr>
            <w:tcW w:w="562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lastRenderedPageBreak/>
              <w:t>08</w:t>
            </w:r>
          </w:p>
        </w:tc>
        <w:tc>
          <w:tcPr>
            <w:tcW w:w="1106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Local</w:t>
            </w:r>
          </w:p>
        </w:tc>
        <w:tc>
          <w:tcPr>
            <w:tcW w:w="992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Calle Amatista</w:t>
            </w:r>
          </w:p>
        </w:tc>
        <w:tc>
          <w:tcPr>
            <w:tcW w:w="1415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Intersección con Avda. Parque Oriente Poniente</w:t>
            </w:r>
          </w:p>
        </w:tc>
        <w:tc>
          <w:tcPr>
            <w:tcW w:w="1136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Extremo oriente de la vía</w:t>
            </w:r>
            <w:r w:rsidR="002E3440" w:rsidRPr="006612CF">
              <w:rPr>
                <w:rFonts w:ascii="gobCL" w:hAnsi="gobCL"/>
                <w:sz w:val="18"/>
                <w:szCs w:val="18"/>
              </w:rPr>
              <w:t>.</w:t>
            </w:r>
          </w:p>
        </w:tc>
        <w:tc>
          <w:tcPr>
            <w:tcW w:w="1054" w:type="dxa"/>
          </w:tcPr>
          <w:p w:rsidR="00B04197" w:rsidRPr="006612CF" w:rsidRDefault="00B04197" w:rsidP="00B04197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-</w:t>
            </w:r>
          </w:p>
        </w:tc>
        <w:tc>
          <w:tcPr>
            <w:tcW w:w="1214" w:type="dxa"/>
          </w:tcPr>
          <w:p w:rsidR="00B04197" w:rsidRPr="006612CF" w:rsidRDefault="00B04197" w:rsidP="00B04197">
            <w:pPr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7.5</w:t>
            </w:r>
          </w:p>
        </w:tc>
        <w:tc>
          <w:tcPr>
            <w:tcW w:w="1505" w:type="dxa"/>
          </w:tcPr>
          <w:p w:rsidR="00B04197" w:rsidRPr="006612CF" w:rsidRDefault="00B04197" w:rsidP="00B04197">
            <w:pPr>
              <w:jc w:val="both"/>
              <w:rPr>
                <w:rFonts w:ascii="gobCL" w:hAnsi="gobCL"/>
                <w:sz w:val="18"/>
                <w:szCs w:val="18"/>
              </w:rPr>
            </w:pPr>
            <w:r w:rsidRPr="006612CF">
              <w:rPr>
                <w:rFonts w:ascii="gobCL" w:hAnsi="gobCL"/>
                <w:sz w:val="18"/>
                <w:szCs w:val="18"/>
              </w:rPr>
              <w:t>Se complementa con vía de 7,5 m, fijada mediante aprobación de loteo Brisas de Cana</w:t>
            </w:r>
            <w:r w:rsidR="00CA7CE2" w:rsidRPr="006612CF">
              <w:rPr>
                <w:rFonts w:ascii="gobCL" w:hAnsi="gobCL"/>
                <w:sz w:val="18"/>
                <w:szCs w:val="18"/>
              </w:rPr>
              <w:t>a</w:t>
            </w:r>
            <w:r w:rsidRPr="006612CF">
              <w:rPr>
                <w:rFonts w:ascii="gobCL" w:hAnsi="gobCL"/>
                <w:sz w:val="18"/>
                <w:szCs w:val="18"/>
              </w:rPr>
              <w:t>n.</w:t>
            </w:r>
          </w:p>
        </w:tc>
      </w:tr>
    </w:tbl>
    <w:p w:rsidR="004E5B3E" w:rsidRPr="00B2232A" w:rsidRDefault="004E5B3E" w:rsidP="004E5B3E">
      <w:pPr>
        <w:spacing w:after="0"/>
        <w:jc w:val="both"/>
        <w:rPr>
          <w:rFonts w:ascii="gobCL" w:hAnsi="gobCL"/>
        </w:rPr>
      </w:pPr>
    </w:p>
    <w:p w:rsidR="004E5B3E" w:rsidRPr="00B2232A" w:rsidRDefault="004E5B3E" w:rsidP="004E5B3E">
      <w:pPr>
        <w:spacing w:after="0"/>
        <w:jc w:val="both"/>
        <w:rPr>
          <w:rFonts w:ascii="gobCL" w:hAnsi="gobCL"/>
        </w:rPr>
      </w:pPr>
      <w:r w:rsidRPr="00B2232A">
        <w:rPr>
          <w:rFonts w:ascii="gobCL" w:hAnsi="gobCL"/>
        </w:rPr>
        <w:t xml:space="preserve">Anótese, tómese razón y publíquese.- SEBASTIÁN PIÑERA ECHENIQUE, Presidente de la República.- </w:t>
      </w:r>
      <w:hyperlink r:id="rId4" w:history="1">
        <w:r w:rsidRPr="00C15A1E">
          <w:rPr>
            <w:rFonts w:ascii="gobCL" w:hAnsi="gobCL"/>
          </w:rPr>
          <w:t>Felipe Ward Edwards</w:t>
        </w:r>
      </w:hyperlink>
      <w:r w:rsidRPr="00B2232A">
        <w:rPr>
          <w:rFonts w:ascii="gobCL" w:hAnsi="gobCL"/>
        </w:rPr>
        <w:t xml:space="preserve">, Ministro de Vivienda y Urbanismo. Lo que transcribo para su conocimiento.- </w:t>
      </w:r>
      <w:r w:rsidRPr="00C15A1E">
        <w:rPr>
          <w:rFonts w:ascii="gobCL" w:hAnsi="gobCL"/>
        </w:rPr>
        <w:t>Guillermo Rolando Vicente</w:t>
      </w:r>
      <w:r w:rsidRPr="00B2232A">
        <w:rPr>
          <w:rFonts w:ascii="gobCL" w:hAnsi="gobCL"/>
        </w:rPr>
        <w:t>, Subsec</w:t>
      </w:r>
      <w:r>
        <w:rPr>
          <w:rFonts w:ascii="gobCL" w:hAnsi="gobCL"/>
        </w:rPr>
        <w:t>retario de Vivienda y Urbanismo.</w:t>
      </w:r>
    </w:p>
    <w:p w:rsidR="007E4D3C" w:rsidRDefault="0001648B">
      <w:bookmarkStart w:id="0" w:name="_GoBack"/>
      <w:bookmarkEnd w:id="0"/>
    </w:p>
    <w:sectPr w:rsidR="007E4D3C" w:rsidSect="006612CF"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">
    <w:panose1 w:val="02000603050000020004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5B3E"/>
    <w:rsid w:val="0001648B"/>
    <w:rsid w:val="000753E7"/>
    <w:rsid w:val="00151E07"/>
    <w:rsid w:val="001D62E8"/>
    <w:rsid w:val="0025560F"/>
    <w:rsid w:val="00272FA7"/>
    <w:rsid w:val="002D26F5"/>
    <w:rsid w:val="002E3440"/>
    <w:rsid w:val="003626E4"/>
    <w:rsid w:val="003E11AF"/>
    <w:rsid w:val="004E5B3E"/>
    <w:rsid w:val="005561F9"/>
    <w:rsid w:val="006612CF"/>
    <w:rsid w:val="00742844"/>
    <w:rsid w:val="007753B8"/>
    <w:rsid w:val="00A7629D"/>
    <w:rsid w:val="00B04197"/>
    <w:rsid w:val="00B342DE"/>
    <w:rsid w:val="00CA7CE2"/>
    <w:rsid w:val="00CF7D63"/>
    <w:rsid w:val="00EF5E59"/>
    <w:rsid w:val="00F51D7F"/>
    <w:rsid w:val="00F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C1840"/>
  <w15:docId w15:val="{6C1AD037-0955-43FA-A8BB-4767707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E5B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B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B3E"/>
    <w:rPr>
      <w:sz w:val="20"/>
      <w:szCs w:val="20"/>
    </w:rPr>
  </w:style>
  <w:style w:type="table" w:styleId="Tablaconcuadrcula">
    <w:name w:val="Table Grid"/>
    <w:basedOn w:val="Tablanormal"/>
    <w:uiPriority w:val="39"/>
    <w:rsid w:val="004E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E5B3E"/>
    <w:pPr>
      <w:spacing w:after="0" w:line="240" w:lineRule="auto"/>
      <w:jc w:val="both"/>
    </w:pPr>
    <w:rPr>
      <w:rFonts w:ascii="Arial Narrow" w:eastAsia="Calibri" w:hAnsi="Arial Narrow" w:cs="Times New Roman"/>
      <w:color w:val="0000FF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5B3E"/>
    <w:rPr>
      <w:rFonts w:ascii="Arial Narrow" w:eastAsia="Calibri" w:hAnsi="Arial Narrow" w:cs="Times New Roman"/>
      <w:color w:val="0000F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Felipe+Ward+Edwards&amp;stick=H4sIAAAAAAAAAONgVuLWT9c3NDI2yUvKMVvEKuyWmpNZkKoQnliUouCaUg6kigFTMjgYJQAAAA&amp;sa=X&amp;ved=2ahUKEwimqprZ09nrAhXSH7kGHVstBNoQmxMoATAeegQIBR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1292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Breton Anex-dit-chenaud</dc:creator>
  <cp:lastModifiedBy>Carolina Parra Alarcon</cp:lastModifiedBy>
  <cp:revision>10</cp:revision>
  <cp:lastPrinted>2020-12-22T16:07:00Z</cp:lastPrinted>
  <dcterms:created xsi:type="dcterms:W3CDTF">2020-12-17T18:29:00Z</dcterms:created>
  <dcterms:modified xsi:type="dcterms:W3CDTF">2020-12-22T16:39:00Z</dcterms:modified>
</cp:coreProperties>
</file>